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Pr="002C7B32" w:rsidRDefault="002C7B32" w:rsidP="002C7B32">
      <w:pPr>
        <w:pStyle w:val="Titre"/>
        <w:jc w:val="center"/>
        <w:rPr>
          <w:noProof/>
          <w:lang w:val="fr-FR"/>
        </w:rPr>
      </w:pPr>
      <w:r w:rsidRPr="002C7B32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35199D" w:rsidRPr="0035199D">
        <w:rPr>
          <w:noProof/>
          <w:lang w:val="fr-FR"/>
        </w:rPr>
        <w:sym w:font="Wingdings" w:char="F0E0"/>
      </w:r>
      <w:r w:rsidR="006C4C60" w:rsidRPr="006C4C60">
        <w:rPr>
          <w:noProof/>
          <w:lang w:val="fr-FR"/>
        </w:rPr>
        <w:sym w:font="Wingdings" w:char="F0E0"/>
      </w:r>
      <w:r w:rsidR="00FF7B58" w:rsidRPr="00FF7B58">
        <w:rPr>
          <w:noProof/>
          <w:lang w:val="fr-FR"/>
        </w:rPr>
        <w:sym w:font="Wingdings" w:char="F0E0"/>
      </w:r>
      <w:r w:rsidR="00FF7B58">
        <w:rPr>
          <w:noProof/>
          <w:lang w:val="fr-FR"/>
        </w:rPr>
        <w:t>FINANCE</w:t>
      </w:r>
      <w:r w:rsidR="00FF7B58" w:rsidRPr="00FF7B58">
        <w:rPr>
          <w:noProof/>
          <w:lang w:val="fr-FR"/>
        </w:rPr>
        <w:sym w:font="Wingdings" w:char="F0DF"/>
      </w:r>
      <w:r w:rsidR="00FF7B58" w:rsidRPr="00FF7B58">
        <w:rPr>
          <w:noProof/>
          <w:lang w:val="fr-FR"/>
        </w:rPr>
        <w:sym w:font="Wingdings" w:char="F0DF"/>
      </w:r>
      <w:r w:rsidR="006C4C60" w:rsidRPr="006C4C60">
        <w:rPr>
          <w:noProof/>
          <w:lang w:val="fr-FR"/>
        </w:rPr>
        <w:sym w:font="Wingdings" w:char="F0DF"/>
      </w:r>
      <w:r w:rsidR="00402F55" w:rsidRPr="00402F55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</w:p>
    <w:p w:rsidR="00B81E4B" w:rsidRPr="002C7B32" w:rsidRDefault="002C7B32">
      <w:pPr>
        <w:pStyle w:val="Titre1"/>
        <w:rPr>
          <w:noProof/>
          <w:lang w:val="fr-FR" w:eastAsia="nb-NO"/>
        </w:rPr>
      </w:pPr>
      <w:r w:rsidRPr="002C7B32">
        <w:rPr>
          <w:noProof/>
          <w:lang w:val="fr-FR" w:eastAsia="nb-NO"/>
        </w:rPr>
        <w:t>CONCEPTS et termes clés</w:t>
      </w:r>
      <w:r w:rsidR="008665E2">
        <w:rPr>
          <w:noProof/>
          <w:lang w:val="fr-FR" w:eastAsia="nb-NO"/>
        </w:rPr>
        <w:t> :</w:t>
      </w:r>
    </w:p>
    <w:p w:rsidR="00E22FF0" w:rsidRDefault="00993B87" w:rsidP="00E22FF0">
      <w:pPr>
        <w:rPr>
          <w:lang w:val="fr-FR" w:eastAsia="nb-NO"/>
        </w:rPr>
      </w:pPr>
      <w:r>
        <w:rPr>
          <w:lang w:val="fr-FR" w:eastAsia="nb-NO"/>
        </w:rPr>
        <w:t xml:space="preserve">Globalisation financière - </w:t>
      </w:r>
      <w:r w:rsidR="00BE296D">
        <w:rPr>
          <w:lang w:val="fr-FR" w:eastAsia="nb-NO"/>
        </w:rPr>
        <w:t>Microcrédit</w:t>
      </w:r>
    </w:p>
    <w:p w:rsidR="008665E2" w:rsidRDefault="008665E2" w:rsidP="008665E2">
      <w:pPr>
        <w:pStyle w:val="Titre1"/>
        <w:rPr>
          <w:noProof/>
          <w:lang w:val="fr-FR" w:eastAsia="nb-NO"/>
        </w:rPr>
      </w:pPr>
      <w:r>
        <w:rPr>
          <w:noProof/>
          <w:lang w:val="fr-FR" w:eastAsia="nb-NO"/>
        </w:rPr>
        <w:t>CHiffres :</w:t>
      </w:r>
    </w:p>
    <w:p w:rsidR="008665E2" w:rsidRDefault="00BE296D" w:rsidP="008665E2">
      <w:pPr>
        <w:rPr>
          <w:lang w:val="fr-FR" w:eastAsia="nb-NO"/>
        </w:rPr>
      </w:pPr>
      <w:r>
        <w:rPr>
          <w:lang w:val="fr-FR" w:eastAsia="nb-NO"/>
        </w:rPr>
        <w:t xml:space="preserve">2,5 millions de personnes souffrent d’exclusion financière, 80% gagnent moins de 2$/jour. La BM vise un accès complet d’ici 2020. </w:t>
      </w:r>
    </w:p>
    <w:p w:rsidR="009A3EE1" w:rsidRDefault="009A3EE1" w:rsidP="008665E2">
      <w:pPr>
        <w:rPr>
          <w:lang w:val="fr-FR" w:eastAsia="nb-NO"/>
        </w:rPr>
      </w:pPr>
      <w:r>
        <w:rPr>
          <w:lang w:val="fr-FR" w:eastAsia="nb-NO"/>
        </w:rPr>
        <w:t xml:space="preserve">Salaire Tim Cook : 9,2M$ en 2012. La mieux payée chez Apple, c’est Angela </w:t>
      </w:r>
      <w:proofErr w:type="spellStart"/>
      <w:r>
        <w:rPr>
          <w:lang w:val="fr-FR" w:eastAsia="nb-NO"/>
        </w:rPr>
        <w:t>Ahrendts</w:t>
      </w:r>
      <w:proofErr w:type="spellEnd"/>
      <w:r>
        <w:rPr>
          <w:lang w:val="fr-FR" w:eastAsia="nb-NO"/>
        </w:rPr>
        <w:t xml:space="preserve"> qui dirige l’Apple Store : 73 millions de $.</w:t>
      </w:r>
    </w:p>
    <w:p w:rsidR="00DD4F6E" w:rsidRDefault="00DD4F6E" w:rsidP="00DD4F6E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>IDE : 2000Mds$ (2007), 1260Mds$ (2014, -8% par rapport à 2013). En France : 25Mds$ en 2012 et 4,8Mds$ en 2013, 3</w:t>
      </w:r>
      <w:r w:rsidRPr="00F525D5">
        <w:rPr>
          <w:vertAlign w:val="superscript"/>
          <w:lang w:val="fr-FR" w:eastAsia="nb-NO"/>
        </w:rPr>
        <w:t xml:space="preserve">ème </w:t>
      </w:r>
      <w:r>
        <w:rPr>
          <w:lang w:val="fr-FR" w:eastAsia="nb-NO"/>
        </w:rPr>
        <w:t>en UE.</w:t>
      </w:r>
    </w:p>
    <w:tbl>
      <w:tblPr>
        <w:tblStyle w:val="Grillemoyenne2-Accent5"/>
        <w:tblW w:w="0" w:type="auto"/>
        <w:tblLook w:val="04A0"/>
      </w:tblPr>
      <w:tblGrid>
        <w:gridCol w:w="1694"/>
        <w:gridCol w:w="1206"/>
        <w:gridCol w:w="772"/>
        <w:gridCol w:w="916"/>
        <w:gridCol w:w="1613"/>
        <w:gridCol w:w="772"/>
        <w:gridCol w:w="2150"/>
        <w:gridCol w:w="639"/>
        <w:gridCol w:w="772"/>
        <w:gridCol w:w="521"/>
      </w:tblGrid>
      <w:tr w:rsidR="00DD4F6E" w:rsidTr="00F96882">
        <w:trPr>
          <w:cnfStyle w:val="100000000000"/>
        </w:trPr>
        <w:tc>
          <w:tcPr>
            <w:cnfStyle w:val="001000000100"/>
            <w:tcW w:w="0" w:type="auto"/>
          </w:tcPr>
          <w:p w:rsidR="00DD4F6E" w:rsidRDefault="00DD4F6E" w:rsidP="00F96882">
            <w:pPr>
              <w:jc w:val="center"/>
              <w:rPr>
                <w:lang w:val="fr-FR" w:eastAsia="nb-NO"/>
              </w:rPr>
            </w:pPr>
            <w:r>
              <w:rPr>
                <w:lang w:val="fr-FR" w:eastAsia="nb-NO"/>
              </w:rPr>
              <w:t>Continent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Etats-Unis</w:t>
            </w:r>
          </w:p>
        </w:tc>
        <w:tc>
          <w:tcPr>
            <w:tcW w:w="0" w:type="auto"/>
          </w:tcPr>
          <w:p w:rsidR="00DD4F6E" w:rsidRDefault="00DD4F6E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UE 2</w:t>
            </w:r>
            <w:r w:rsidR="009C2D55">
              <w:rPr>
                <w:lang w:val="fr-FR" w:eastAsia="nb-NO"/>
              </w:rPr>
              <w:t>8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Afrique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AL et Caraïbes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Brésil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Europe du SE et CEI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Asie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Chine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HK</w:t>
            </w:r>
          </w:p>
        </w:tc>
      </w:tr>
      <w:tr w:rsidR="00DD4F6E" w:rsidTr="00F96882">
        <w:trPr>
          <w:cnfStyle w:val="000000100000"/>
        </w:trPr>
        <w:tc>
          <w:tcPr>
            <w:cnfStyle w:val="001000000000"/>
            <w:tcW w:w="0" w:type="auto"/>
          </w:tcPr>
          <w:p w:rsidR="00DD4F6E" w:rsidRDefault="00DD4F6E" w:rsidP="00F96882">
            <w:pPr>
              <w:jc w:val="center"/>
              <w:rPr>
                <w:lang w:val="fr-FR" w:eastAsia="nb-NO"/>
              </w:rPr>
            </w:pPr>
            <w:r>
              <w:rPr>
                <w:lang w:val="fr-FR" w:eastAsia="nb-NO"/>
              </w:rPr>
              <w:t>Montant (Mds$)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188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2</w:t>
            </w:r>
            <w:r w:rsidR="009C2D55">
              <w:rPr>
                <w:lang w:val="fr-FR" w:eastAsia="nb-NO"/>
              </w:rPr>
              <w:t>67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57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292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64</w:t>
            </w:r>
          </w:p>
        </w:tc>
        <w:tc>
          <w:tcPr>
            <w:tcW w:w="0" w:type="auto"/>
          </w:tcPr>
          <w:p w:rsidR="00DD4F6E" w:rsidRDefault="009C2D55" w:rsidP="00F96882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45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426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128</w:t>
            </w:r>
          </w:p>
        </w:tc>
        <w:tc>
          <w:tcPr>
            <w:tcW w:w="0" w:type="auto"/>
          </w:tcPr>
          <w:p w:rsidR="00DD4F6E" w:rsidRDefault="00DD4F6E" w:rsidP="00F96882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111</w:t>
            </w:r>
          </w:p>
        </w:tc>
      </w:tr>
    </w:tbl>
    <w:p w:rsidR="00DD4F6E" w:rsidRDefault="00DD4F6E" w:rsidP="00DD4F6E">
      <w:pPr>
        <w:spacing w:before="240"/>
        <w:rPr>
          <w:lang w:val="fr-FR" w:eastAsia="nb-NO"/>
        </w:rPr>
      </w:pPr>
      <w:r>
        <w:rPr>
          <w:lang w:val="fr-FR" w:eastAsia="nb-NO"/>
        </w:rPr>
        <w:t xml:space="preserve">+4% pour les PVD (700Mds$, 56% total mondial). </w:t>
      </w:r>
      <w:r w:rsidR="009C2D55">
        <w:rPr>
          <w:lang w:val="fr-FR" w:eastAsia="nb-NO"/>
        </w:rPr>
        <w:t xml:space="preserve">HK : +46%. Inde : +26%. -14% pour les pays développés. USA : -67% (impact du rachat d’actions Vodafone par </w:t>
      </w:r>
      <w:proofErr w:type="spellStart"/>
      <w:r w:rsidR="009C2D55">
        <w:rPr>
          <w:lang w:val="fr-FR" w:eastAsia="nb-NO"/>
        </w:rPr>
        <w:t>Verizon</w:t>
      </w:r>
      <w:proofErr w:type="spellEnd"/>
      <w:r w:rsidR="009C2D55">
        <w:rPr>
          <w:lang w:val="fr-FR" w:eastAsia="nb-NO"/>
        </w:rPr>
        <w:t>, 130Mds$). Europe : +13%. -45% pour les PECO. -70% en Russie (3</w:t>
      </w:r>
      <w:r w:rsidR="009C2D55" w:rsidRPr="009C2D55">
        <w:rPr>
          <w:vertAlign w:val="superscript"/>
          <w:lang w:val="fr-FR" w:eastAsia="nb-NO"/>
        </w:rPr>
        <w:t>ème</w:t>
      </w:r>
      <w:r w:rsidR="009C2D55">
        <w:rPr>
          <w:lang w:val="fr-FR" w:eastAsia="nb-NO"/>
        </w:rPr>
        <w:t xml:space="preserve"> en 2010), 19Mds$.</w:t>
      </w:r>
    </w:p>
    <w:tbl>
      <w:tblPr>
        <w:tblStyle w:val="Trameclaire-Accent4"/>
        <w:tblW w:w="0" w:type="auto"/>
        <w:tblLook w:val="04A0"/>
      </w:tblPr>
      <w:tblGrid>
        <w:gridCol w:w="1900"/>
        <w:gridCol w:w="943"/>
        <w:gridCol w:w="562"/>
        <w:gridCol w:w="665"/>
        <w:gridCol w:w="603"/>
        <w:gridCol w:w="672"/>
        <w:gridCol w:w="543"/>
        <w:gridCol w:w="679"/>
        <w:gridCol w:w="665"/>
        <w:gridCol w:w="508"/>
        <w:gridCol w:w="748"/>
        <w:gridCol w:w="785"/>
      </w:tblGrid>
      <w:tr w:rsidR="009C2D55" w:rsidTr="009C2D55">
        <w:trPr>
          <w:cnfStyle w:val="100000000000"/>
        </w:trPr>
        <w:tc>
          <w:tcPr>
            <w:cnfStyle w:val="001000000000"/>
            <w:tcW w:w="0" w:type="auto"/>
          </w:tcPr>
          <w:p w:rsidR="009C2D55" w:rsidRDefault="009C2D55" w:rsidP="009C2D55">
            <w:pPr>
              <w:jc w:val="center"/>
              <w:rPr>
                <w:lang w:val="fr-FR" w:eastAsia="nb-NO"/>
              </w:rPr>
            </w:pPr>
            <w:r>
              <w:rPr>
                <w:lang w:val="fr-FR" w:eastAsia="nb-NO"/>
              </w:rPr>
              <w:t>Pays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CHINE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HK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USA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SIN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BRE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RU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CAN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AUS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PB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LUX.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1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INDE</w:t>
            </w:r>
          </w:p>
        </w:tc>
      </w:tr>
      <w:tr w:rsidR="009C2D55" w:rsidTr="009C2D55">
        <w:trPr>
          <w:cnfStyle w:val="000000100000"/>
        </w:trPr>
        <w:tc>
          <w:tcPr>
            <w:cnfStyle w:val="001000000000"/>
            <w:tcW w:w="0" w:type="auto"/>
          </w:tcPr>
          <w:p w:rsidR="009C2D55" w:rsidRDefault="009C2D55" w:rsidP="009C2D55">
            <w:pPr>
              <w:jc w:val="center"/>
              <w:rPr>
                <w:lang w:val="fr-FR" w:eastAsia="nb-NO"/>
              </w:rPr>
            </w:pPr>
            <w:r>
              <w:rPr>
                <w:lang w:val="fr-FR" w:eastAsia="nb-NO"/>
              </w:rPr>
              <w:t>Montant (Mds$)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128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111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86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81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62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61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53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49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42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36</w:t>
            </w:r>
          </w:p>
        </w:tc>
        <w:tc>
          <w:tcPr>
            <w:tcW w:w="0" w:type="auto"/>
          </w:tcPr>
          <w:p w:rsidR="009C2D55" w:rsidRDefault="009C2D55" w:rsidP="009C2D55">
            <w:pPr>
              <w:jc w:val="center"/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35</w:t>
            </w:r>
          </w:p>
        </w:tc>
      </w:tr>
    </w:tbl>
    <w:p w:rsidR="00DD4F6E" w:rsidRPr="008665E2" w:rsidRDefault="00DD4F6E" w:rsidP="00DD4F6E">
      <w:pPr>
        <w:rPr>
          <w:lang w:val="fr-FR" w:eastAsia="nb-NO"/>
        </w:rPr>
      </w:pPr>
    </w:p>
    <w:p w:rsidR="002C7B32" w:rsidRPr="002C7B3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>Exemples</w:t>
      </w:r>
      <w:r w:rsidR="00B75FE6" w:rsidRPr="002C7B32">
        <w:rPr>
          <w:rFonts w:ascii="Arial" w:hAnsi="Arial"/>
          <w:noProof/>
          <w:color w:val="E76A1D"/>
          <w:lang w:val="fr-FR"/>
        </w:rPr>
        <w:t xml:space="preserve"> : </w:t>
      </w:r>
    </w:p>
    <w:p w:rsidR="002C7B32" w:rsidRDefault="00355833" w:rsidP="002C7B32">
      <w:pPr>
        <w:rPr>
          <w:lang w:val="fr-FR" w:eastAsia="nb-NO"/>
        </w:rPr>
      </w:pPr>
      <w:r>
        <w:rPr>
          <w:lang w:val="fr-FR" w:eastAsia="nb-NO"/>
        </w:rPr>
        <w:t>Apple : capitalisation de 700Mds$, 100Mds$ de dividendes depuis 2012, au l</w:t>
      </w:r>
      <w:r w:rsidR="00446CCB">
        <w:rPr>
          <w:lang w:val="fr-FR" w:eastAsia="nb-NO"/>
        </w:rPr>
        <w:t>ieu de renforcer sa domination… Mais tout de même, au dernier trimestre 2014 : même CA</w:t>
      </w:r>
      <w:r w:rsidR="000C165A">
        <w:rPr>
          <w:lang w:val="fr-FR" w:eastAsia="nb-NO"/>
        </w:rPr>
        <w:t xml:space="preserve"> que celui d’EDF en 1 an (75Mds$</w:t>
      </w:r>
      <w:r w:rsidR="00446CCB">
        <w:rPr>
          <w:lang w:val="fr-FR" w:eastAsia="nb-NO"/>
        </w:rPr>
        <w:t>), plus gros bénéfice t</w:t>
      </w:r>
      <w:r w:rsidR="000C165A">
        <w:rPr>
          <w:lang w:val="fr-FR" w:eastAsia="nb-NO"/>
        </w:rPr>
        <w:t>rimestriel de l’histoire (18Mds$</w:t>
      </w:r>
      <w:r w:rsidR="00446CCB">
        <w:rPr>
          <w:lang w:val="fr-FR" w:eastAsia="nb-NO"/>
        </w:rPr>
        <w:t xml:space="preserve">). </w:t>
      </w:r>
      <w:r w:rsidR="00D7100B">
        <w:rPr>
          <w:lang w:val="fr-FR" w:eastAsia="nb-NO"/>
        </w:rPr>
        <w:t xml:space="preserve">En gros, même profit qu’Exxon et même marges (40%) que dans le luxe ! </w:t>
      </w:r>
      <w:r w:rsidR="00446CCB">
        <w:rPr>
          <w:lang w:val="fr-FR" w:eastAsia="nb-NO"/>
        </w:rPr>
        <w:t xml:space="preserve">Obsolescence gérée de ses </w:t>
      </w:r>
      <w:proofErr w:type="spellStart"/>
      <w:r w:rsidR="00446CCB">
        <w:rPr>
          <w:lang w:val="fr-FR" w:eastAsia="nb-NO"/>
        </w:rPr>
        <w:t>iPhones</w:t>
      </w:r>
      <w:proofErr w:type="spellEnd"/>
      <w:r w:rsidR="00446CCB">
        <w:rPr>
          <w:lang w:val="fr-FR" w:eastAsia="nb-NO"/>
        </w:rPr>
        <w:t xml:space="preserve"> : en 7 ans,  CA multiplié par 10. </w:t>
      </w:r>
    </w:p>
    <w:p w:rsidR="00993B87" w:rsidRDefault="00993B87" w:rsidP="002C7B32">
      <w:pPr>
        <w:rPr>
          <w:lang w:val="fr-FR" w:eastAsia="nb-NO"/>
        </w:rPr>
      </w:pPr>
      <w:r>
        <w:rPr>
          <w:lang w:val="fr-FR" w:eastAsia="nb-NO"/>
        </w:rPr>
        <w:t>Des groupes étrangers sont même intégrés dans le CAC 40 : Solvay (belge), Arcelor-</w:t>
      </w:r>
      <w:proofErr w:type="spellStart"/>
      <w:r>
        <w:rPr>
          <w:lang w:val="fr-FR" w:eastAsia="nb-NO"/>
        </w:rPr>
        <w:t>Mittal</w:t>
      </w:r>
      <w:proofErr w:type="spellEnd"/>
      <w:r>
        <w:rPr>
          <w:lang w:val="fr-FR" w:eastAsia="nb-NO"/>
        </w:rPr>
        <w:t xml:space="preserve"> (siège au Luxembourg), EADS (société de droit néerlandais), STMicroelectronics (entreprise franco-italienne), Unibail-</w:t>
      </w:r>
      <w:proofErr w:type="spellStart"/>
      <w:r>
        <w:rPr>
          <w:lang w:val="fr-FR" w:eastAsia="nb-NO"/>
        </w:rPr>
        <w:t>Rodamco</w:t>
      </w:r>
      <w:proofErr w:type="spellEnd"/>
      <w:r>
        <w:rPr>
          <w:lang w:val="fr-FR" w:eastAsia="nb-NO"/>
        </w:rPr>
        <w:t xml:space="preserve">. A Londres, c’est le groupe minier suisse </w:t>
      </w:r>
      <w:proofErr w:type="spellStart"/>
      <w:r>
        <w:rPr>
          <w:lang w:val="fr-FR" w:eastAsia="nb-NO"/>
        </w:rPr>
        <w:t>Glencore</w:t>
      </w:r>
      <w:proofErr w:type="spellEnd"/>
      <w:r>
        <w:rPr>
          <w:lang w:val="fr-FR" w:eastAsia="nb-NO"/>
        </w:rPr>
        <w:t xml:space="preserve"> qui s’est introduit sur le Footsie avec seulement 12% de flottant, bien loin des 25% requis ! </w:t>
      </w:r>
    </w:p>
    <w:p w:rsidR="00F63BA3" w:rsidRDefault="00F63BA3" w:rsidP="002C7B32">
      <w:pPr>
        <w:rPr>
          <w:lang w:val="fr-FR" w:eastAsia="nb-NO"/>
        </w:rPr>
      </w:pPr>
      <w:r>
        <w:rPr>
          <w:lang w:val="fr-FR" w:eastAsia="nb-NO"/>
        </w:rPr>
        <w:t>Monnaies locales circonscrites à un territoire et arrimées à une monnaie. WIR Suisse né en 1934, utilisé par 60 000 PME (2% PIB). « Levier de développement local » pour le gouvernement français. Veut développer l’</w:t>
      </w:r>
      <w:proofErr w:type="spellStart"/>
      <w:r>
        <w:rPr>
          <w:lang w:val="fr-FR" w:eastAsia="nb-NO"/>
        </w:rPr>
        <w:t>eusko</w:t>
      </w:r>
      <w:proofErr w:type="spellEnd"/>
      <w:r>
        <w:rPr>
          <w:lang w:val="fr-FR" w:eastAsia="nb-NO"/>
        </w:rPr>
        <w:t xml:space="preserve"> (Pays-Basque) et </w:t>
      </w:r>
      <w:proofErr w:type="spellStart"/>
      <w:r>
        <w:rPr>
          <w:lang w:val="fr-FR" w:eastAsia="nb-NO"/>
        </w:rPr>
        <w:t>SoNantes</w:t>
      </w:r>
      <w:proofErr w:type="spellEnd"/>
      <w:r>
        <w:rPr>
          <w:lang w:val="fr-FR" w:eastAsia="nb-NO"/>
        </w:rPr>
        <w:t>.</w:t>
      </w:r>
    </w:p>
    <w:p w:rsidR="00F63BA3" w:rsidRDefault="00F63BA3" w:rsidP="002C7B32">
      <w:pPr>
        <w:rPr>
          <w:lang w:val="fr-FR" w:eastAsia="nb-NO"/>
        </w:rPr>
      </w:pPr>
      <w:r>
        <w:rPr>
          <w:lang w:val="fr-FR" w:eastAsia="nb-NO"/>
        </w:rPr>
        <w:t xml:space="preserve">Internationalisation des devises : la Cades (Caisse d’amortissement de la dette sociale) a émis pour la première fois un emprunt en renminbis (3 milliards = 420M€). Première pour un grand établissement public français. </w:t>
      </w:r>
    </w:p>
    <w:p w:rsidR="000D79CF" w:rsidRPr="002C7B32" w:rsidRDefault="000D79CF" w:rsidP="002C7B32">
      <w:pPr>
        <w:rPr>
          <w:lang w:val="fr-FR" w:eastAsia="nb-NO"/>
        </w:rPr>
      </w:pPr>
      <w:r>
        <w:rPr>
          <w:lang w:val="fr-FR" w:eastAsia="nb-NO"/>
        </w:rPr>
        <w:t xml:space="preserve">Bourses régionales : celle de Lyon a fermé à la création d’Euronext. </w:t>
      </w:r>
      <w:proofErr w:type="spellStart"/>
      <w:r>
        <w:rPr>
          <w:lang w:val="fr-FR" w:eastAsia="nb-NO"/>
        </w:rPr>
        <w:t>Macron</w:t>
      </w:r>
      <w:proofErr w:type="spellEnd"/>
      <w:r>
        <w:rPr>
          <w:lang w:val="fr-FR" w:eastAsia="nb-NO"/>
        </w:rPr>
        <w:t xml:space="preserve"> veut les rouvrir : </w:t>
      </w:r>
      <w:proofErr w:type="spellStart"/>
      <w:r>
        <w:rPr>
          <w:lang w:val="fr-FR" w:eastAsia="nb-NO"/>
        </w:rPr>
        <w:t>Alternativa</w:t>
      </w:r>
      <w:proofErr w:type="spellEnd"/>
      <w:r>
        <w:rPr>
          <w:lang w:val="fr-FR" w:eastAsia="nb-NO"/>
        </w:rPr>
        <w:t xml:space="preserve"> à Lyon pour les PME/ETI.</w:t>
      </w:r>
    </w:p>
    <w:p w:rsidR="006D6342" w:rsidRPr="002C7B3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 xml:space="preserve">REFERENCES : </w:t>
      </w:r>
    </w:p>
    <w:p w:rsidR="002C7B32" w:rsidRPr="00355833" w:rsidRDefault="002C7B32" w:rsidP="002C7B32">
      <w:pPr>
        <w:rPr>
          <w:lang w:val="fr-FR"/>
        </w:rPr>
      </w:pPr>
    </w:p>
    <w:sectPr w:rsidR="002C7B32" w:rsidRPr="00355833" w:rsidSect="002C7B32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drawingGridHorizontalSpacing w:val="100"/>
  <w:displayHorizontalDrawingGridEvery w:val="2"/>
  <w:characterSpacingControl w:val="doNotCompress"/>
  <w:savePreviewPicture/>
  <w:compat/>
  <w:rsids>
    <w:rsidRoot w:val="001566BD"/>
    <w:rsid w:val="00050697"/>
    <w:rsid w:val="00056399"/>
    <w:rsid w:val="00091ECC"/>
    <w:rsid w:val="00093985"/>
    <w:rsid w:val="000C165A"/>
    <w:rsid w:val="000D79CF"/>
    <w:rsid w:val="000E3387"/>
    <w:rsid w:val="000F6778"/>
    <w:rsid w:val="001566BD"/>
    <w:rsid w:val="00161623"/>
    <w:rsid w:val="00190A15"/>
    <w:rsid w:val="00191A3D"/>
    <w:rsid w:val="00263A15"/>
    <w:rsid w:val="002C7B32"/>
    <w:rsid w:val="002E15D1"/>
    <w:rsid w:val="002F61C0"/>
    <w:rsid w:val="0035199D"/>
    <w:rsid w:val="00355833"/>
    <w:rsid w:val="003D0E38"/>
    <w:rsid w:val="003E394A"/>
    <w:rsid w:val="00402F55"/>
    <w:rsid w:val="00446CCB"/>
    <w:rsid w:val="00470696"/>
    <w:rsid w:val="00496709"/>
    <w:rsid w:val="004B1DB4"/>
    <w:rsid w:val="004B346D"/>
    <w:rsid w:val="004D0464"/>
    <w:rsid w:val="004D0689"/>
    <w:rsid w:val="00516F90"/>
    <w:rsid w:val="005D516E"/>
    <w:rsid w:val="005E5F31"/>
    <w:rsid w:val="006056A8"/>
    <w:rsid w:val="00652696"/>
    <w:rsid w:val="006740A2"/>
    <w:rsid w:val="006A531C"/>
    <w:rsid w:val="006C4C60"/>
    <w:rsid w:val="006D6342"/>
    <w:rsid w:val="0073088F"/>
    <w:rsid w:val="00777CE6"/>
    <w:rsid w:val="007A2E16"/>
    <w:rsid w:val="007D7565"/>
    <w:rsid w:val="008205E6"/>
    <w:rsid w:val="008332D2"/>
    <w:rsid w:val="00841FE1"/>
    <w:rsid w:val="0086045E"/>
    <w:rsid w:val="008640F5"/>
    <w:rsid w:val="008665E2"/>
    <w:rsid w:val="00980846"/>
    <w:rsid w:val="00993B87"/>
    <w:rsid w:val="009A3EE1"/>
    <w:rsid w:val="009C2D55"/>
    <w:rsid w:val="00A158CF"/>
    <w:rsid w:val="00A15AFC"/>
    <w:rsid w:val="00A2024B"/>
    <w:rsid w:val="00A364D8"/>
    <w:rsid w:val="00A442D9"/>
    <w:rsid w:val="00A7322E"/>
    <w:rsid w:val="00A877BB"/>
    <w:rsid w:val="00AB1083"/>
    <w:rsid w:val="00AE672B"/>
    <w:rsid w:val="00B17F69"/>
    <w:rsid w:val="00B65C9D"/>
    <w:rsid w:val="00B67651"/>
    <w:rsid w:val="00B75FE6"/>
    <w:rsid w:val="00B81E4B"/>
    <w:rsid w:val="00B95C52"/>
    <w:rsid w:val="00BE296D"/>
    <w:rsid w:val="00CA3494"/>
    <w:rsid w:val="00D03209"/>
    <w:rsid w:val="00D7100B"/>
    <w:rsid w:val="00DD4F6E"/>
    <w:rsid w:val="00E22FF0"/>
    <w:rsid w:val="00E4387F"/>
    <w:rsid w:val="00E44AD9"/>
    <w:rsid w:val="00E90491"/>
    <w:rsid w:val="00F112FE"/>
    <w:rsid w:val="00F63BA3"/>
    <w:rsid w:val="00F90CB2"/>
    <w:rsid w:val="00FF341D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7F"/>
  </w:style>
  <w:style w:type="paragraph" w:styleId="Titre1">
    <w:name w:val="heading 1"/>
    <w:basedOn w:val="Normal"/>
    <w:next w:val="Normal"/>
    <w:link w:val="Titre1C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E4387F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E4387F"/>
    <w:pPr>
      <w:keepNext/>
      <w:keepLines/>
      <w:spacing w:before="120" w:after="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387F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4387F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reCar">
    <w:name w:val="Titre Car"/>
    <w:basedOn w:val="Policepardfaut"/>
    <w:link w:val="Titr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E4387F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ous-titreCar">
    <w:name w:val="Sous-titre Car"/>
    <w:basedOn w:val="Policepardfaut"/>
    <w:link w:val="Sous-titr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Grilledutableau">
    <w:name w:val="Table Grid"/>
    <w:basedOn w:val="Tableau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Normalcentr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gende">
    <w:name w:val="caption"/>
    <w:basedOn w:val="Normal"/>
    <w:next w:val="Normal"/>
    <w:uiPriority w:val="3"/>
    <w:unhideWhenUsed/>
    <w:qFormat/>
    <w:rsid w:val="00E4387F"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Normalcentr">
    <w:name w:val="Block Text"/>
    <w:basedOn w:val="Normal"/>
    <w:uiPriority w:val="3"/>
    <w:unhideWhenUsed/>
    <w:qFormat/>
    <w:rsid w:val="005E5F31"/>
    <w:pPr>
      <w:spacing w:after="180" w:line="240" w:lineRule="auto"/>
      <w:ind w:left="288" w:right="288"/>
    </w:pPr>
    <w:rPr>
      <w:color w:val="FFFFFF" w:themeColor="background1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Titre3Car">
    <w:name w:val="Titre 3 Car"/>
    <w:basedOn w:val="Policepardfaut"/>
    <w:link w:val="Titre3"/>
    <w:uiPriority w:val="3"/>
    <w:rsid w:val="00E4387F"/>
    <w:rPr>
      <w:b/>
      <w:bCs/>
    </w:rPr>
  </w:style>
  <w:style w:type="paragraph" w:styleId="Citation">
    <w:name w:val="Quote"/>
    <w:basedOn w:val="Normal"/>
    <w:next w:val="Normal"/>
    <w:link w:val="CitationC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ionCar">
    <w:name w:val="Citation Car"/>
    <w:basedOn w:val="Policepardfaut"/>
    <w:link w:val="Citation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Titre4Car">
    <w:name w:val="Titre 4 Car"/>
    <w:basedOn w:val="Policepardfaut"/>
    <w:link w:val="Titre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lev">
    <w:name w:val="Strong"/>
    <w:basedOn w:val="Policepardfau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87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87F"/>
    <w:rPr>
      <w:rFonts w:ascii="Segoe UI" w:hAnsi="Segoe UI" w:cs="Segoe UI"/>
      <w:sz w:val="18"/>
    </w:rPr>
  </w:style>
  <w:style w:type="table" w:styleId="Grillemoyenne2-Accent5">
    <w:name w:val="Medium Grid 2 Accent 5"/>
    <w:basedOn w:val="TableauNormal"/>
    <w:uiPriority w:val="68"/>
    <w:rsid w:val="00DD4F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BA3D" w:themeColor="accent5"/>
        <w:left w:val="single" w:sz="8" w:space="0" w:color="EDBA3D" w:themeColor="accent5"/>
        <w:bottom w:val="single" w:sz="8" w:space="0" w:color="EDBA3D" w:themeColor="accent5"/>
        <w:right w:val="single" w:sz="8" w:space="0" w:color="EDBA3D" w:themeColor="accent5"/>
        <w:insideH w:val="single" w:sz="8" w:space="0" w:color="EDBA3D" w:themeColor="accent5"/>
        <w:insideV w:val="single" w:sz="8" w:space="0" w:color="EDBA3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D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D7" w:themeFill="accent5" w:themeFillTint="33"/>
      </w:tcPr>
    </w:tblStylePr>
    <w:tblStylePr w:type="band1Vert">
      <w:tblPr/>
      <w:tcPr>
        <w:shd w:val="clear" w:color="auto" w:fill="F6DC9E" w:themeFill="accent5" w:themeFillTint="7F"/>
      </w:tcPr>
    </w:tblStylePr>
    <w:tblStylePr w:type="band1Horz">
      <w:tblPr/>
      <w:tcPr>
        <w:tcBorders>
          <w:insideH w:val="single" w:sz="6" w:space="0" w:color="EDBA3D" w:themeColor="accent5"/>
          <w:insideV w:val="single" w:sz="6" w:space="0" w:color="EDBA3D" w:themeColor="accent5"/>
        </w:tcBorders>
        <w:shd w:val="clear" w:color="auto" w:fill="F6DC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rameclaire-Accent1">
    <w:name w:val="Light Shading Accent 1"/>
    <w:basedOn w:val="TableauNormal"/>
    <w:uiPriority w:val="60"/>
    <w:rsid w:val="009C2D55"/>
    <w:pPr>
      <w:spacing w:after="0" w:line="240" w:lineRule="auto"/>
    </w:pPr>
    <w:rPr>
      <w:color w:val="AF4E12" w:themeColor="accent1" w:themeShade="BF"/>
    </w:rPr>
    <w:tblPr>
      <w:tblStyleRowBandSize w:val="1"/>
      <w:tblStyleColBandSize w:val="1"/>
      <w:tblInd w:w="0" w:type="dxa"/>
      <w:tblBorders>
        <w:top w:val="single" w:sz="8" w:space="0" w:color="E76A1D" w:themeColor="accent1"/>
        <w:bottom w:val="single" w:sz="8" w:space="0" w:color="E76A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 w:themeColor="accent1"/>
          <w:left w:val="nil"/>
          <w:bottom w:val="single" w:sz="8" w:space="0" w:color="E76A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 w:themeColor="accent1"/>
          <w:left w:val="nil"/>
          <w:bottom w:val="single" w:sz="8" w:space="0" w:color="E76A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9C2D55"/>
    <w:pPr>
      <w:spacing w:after="0" w:line="240" w:lineRule="auto"/>
    </w:pPr>
    <w:rPr>
      <w:color w:val="2E6279" w:themeColor="accent4" w:themeShade="BF"/>
    </w:rPr>
    <w:tblPr>
      <w:tblStyleRowBandSize w:val="1"/>
      <w:tblStyleColBandSize w:val="1"/>
      <w:tblInd w:w="0" w:type="dxa"/>
      <w:tblBorders>
        <w:top w:val="single" w:sz="8" w:space="0" w:color="3E84A3" w:themeColor="accent4"/>
        <w:bottom w:val="single" w:sz="8" w:space="0" w:color="3E84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4A3" w:themeColor="accent4"/>
          <w:left w:val="nil"/>
          <w:bottom w:val="single" w:sz="8" w:space="0" w:color="3E84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4A3" w:themeColor="accent4"/>
          <w:left w:val="nil"/>
          <w:bottom w:val="single" w:sz="8" w:space="0" w:color="3E84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1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1EB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di\Documents\Pr&#233;pa%20ECS3\Mod&#232;le%20perso%20fiches%20g&#233;opolitique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perso fiches géopolitique</Template>
  <TotalTime>0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CONCEPTS et termes clés :</vt:lpstr>
      <vt:lpstr>CHiffres :</vt:lpstr>
      <vt:lpstr>Exemples : </vt:lpstr>
      <vt:lpstr>REFERENCES : </vt:lpstr>
      <vt:lpstr/>
    </vt:vector>
  </TitlesOfParts>
  <Company>Hewlett-Packard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 Cornilliet</cp:lastModifiedBy>
  <cp:revision>2</cp:revision>
  <cp:lastPrinted>2012-08-02T20:18:00Z</cp:lastPrinted>
  <dcterms:created xsi:type="dcterms:W3CDTF">2015-02-08T11:31:00Z</dcterms:created>
  <dcterms:modified xsi:type="dcterms:W3CDTF">2015-02-08T11:31:00Z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